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FD666" w14:textId="77777777" w:rsidR="00312AE3" w:rsidRDefault="00B24347" w:rsidP="00F471C5">
      <w:pPr>
        <w:spacing w:after="0" w:line="360" w:lineRule="auto"/>
        <w:ind w:left="0" w:right="0" w:firstLine="0"/>
        <w:contextualSpacing/>
        <w:jc w:val="center"/>
      </w:pPr>
      <w:r>
        <w:rPr>
          <w:b/>
          <w:sz w:val="32"/>
        </w:rPr>
        <w:t>Informationsblatt - Berufspraktische Tage/Wochen</w:t>
      </w:r>
    </w:p>
    <w:p w14:paraId="47D0E876" w14:textId="77777777" w:rsidR="00312AE3" w:rsidRDefault="00B24347" w:rsidP="00F471C5">
      <w:pPr>
        <w:spacing w:after="0" w:line="360" w:lineRule="auto"/>
        <w:ind w:left="622" w:right="0" w:firstLine="0"/>
        <w:contextualSpacing/>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5C21C2A" wp14:editId="02BF2D96">
                <wp:simplePos x="0" y="0"/>
                <wp:positionH relativeFrom="column">
                  <wp:posOffset>-18034</wp:posOffset>
                </wp:positionH>
                <wp:positionV relativeFrom="paragraph">
                  <wp:posOffset>222577</wp:posOffset>
                </wp:positionV>
                <wp:extent cx="5797297" cy="6096"/>
                <wp:effectExtent l="0" t="0" r="0" b="0"/>
                <wp:wrapNone/>
                <wp:docPr id="968" name="Group 968"/>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1337" name="Shape 1337"/>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68" style="width:456.48pt;height:0.47998pt;position:absolute;z-index:7;mso-position-horizontal-relative:text;mso-position-horizontal:absolute;margin-left:-1.42006pt;mso-position-vertical-relative:text;margin-top:17.5258pt;" coordsize="57972,60">
                <v:shape id="Shape 1338" style="position:absolute;width:57972;height:91;left:0;top:0;" coordsize="5797297,9144" path="m0,0l5797297,0l5797297,9144l0,9144l0,0">
                  <v:stroke weight="0pt" endcap="flat" joinstyle="miter" miterlimit="10" on="false" color="#000000" opacity="0"/>
                  <v:fill on="true" color="#000000"/>
                </v:shape>
              </v:group>
            </w:pict>
          </mc:Fallback>
        </mc:AlternateContent>
      </w:r>
      <w:r>
        <w:rPr>
          <w:b/>
          <w:sz w:val="26"/>
        </w:rPr>
        <w:t xml:space="preserve">für SchülerInnen, Erziehungsberechtigte, Betriebe und Schulen </w:t>
      </w:r>
    </w:p>
    <w:p w14:paraId="3472D5CD" w14:textId="77777777" w:rsidR="00312AE3" w:rsidRDefault="00B24347">
      <w:pPr>
        <w:spacing w:after="0" w:line="259" w:lineRule="auto"/>
        <w:ind w:left="0" w:right="0" w:firstLine="0"/>
        <w:jc w:val="left"/>
      </w:pPr>
      <w:r>
        <w:t xml:space="preserve"> </w:t>
      </w:r>
    </w:p>
    <w:p w14:paraId="3480F8A2" w14:textId="77777777" w:rsidR="00312AE3" w:rsidRDefault="00B24347">
      <w:pPr>
        <w:ind w:left="-5" w:right="410"/>
      </w:pPr>
      <w:r>
        <w:t xml:space="preserve">Die Schulveranstaltung „Berufspraktische Tage/Wochen“ soll eine praxisnahe Berufsorientierung durch unmittelbaren und anschaulichen Kontakt zu wirtschaftlichen und beruflichen Vorgängen ermöglichen und so eine bevorstehende Berufswahl erleichtern. Die Organisation und Vorbereitung der Veranstaltung erfolgt durch die Schule, in Zusammenarbeit mit den Erziehungsberechtigten und den Interessenvertretungen (Kammern). </w:t>
      </w:r>
    </w:p>
    <w:p w14:paraId="52CF2C8D" w14:textId="77777777" w:rsidR="00312AE3" w:rsidRDefault="00B24347">
      <w:pPr>
        <w:spacing w:after="0" w:line="259" w:lineRule="auto"/>
        <w:ind w:left="0" w:right="0" w:firstLine="0"/>
        <w:jc w:val="left"/>
      </w:pPr>
      <w:r>
        <w:t xml:space="preserve"> </w:t>
      </w:r>
    </w:p>
    <w:p w14:paraId="70ED04EC" w14:textId="77777777" w:rsidR="00312AE3" w:rsidRDefault="00B24347">
      <w:pPr>
        <w:ind w:left="-5" w:right="410"/>
      </w:pPr>
      <w:r>
        <w:t xml:space="preserve">Die Schulveranstaltung soll </w:t>
      </w:r>
    </w:p>
    <w:p w14:paraId="4FE2BA8F" w14:textId="77777777" w:rsidR="00312AE3" w:rsidRPr="00F471C5" w:rsidRDefault="00B24347">
      <w:pPr>
        <w:spacing w:after="0" w:line="259" w:lineRule="auto"/>
        <w:ind w:left="0" w:right="0" w:firstLine="0"/>
        <w:jc w:val="left"/>
        <w:rPr>
          <w:sz w:val="8"/>
          <w:szCs w:val="8"/>
        </w:rPr>
      </w:pPr>
      <w:r>
        <w:t xml:space="preserve"> </w:t>
      </w:r>
    </w:p>
    <w:p w14:paraId="481BDE49" w14:textId="77777777" w:rsidR="00312AE3" w:rsidRDefault="00B24347">
      <w:pPr>
        <w:spacing w:after="85"/>
        <w:ind w:left="-5" w:right="410"/>
      </w:pPr>
      <w:r>
        <w:rPr>
          <w:rFonts w:ascii="Segoe UI Symbol" w:eastAsia="Segoe UI Symbol" w:hAnsi="Segoe UI Symbol" w:cs="Segoe UI Symbol"/>
        </w:rPr>
        <w:t>⇒</w:t>
      </w:r>
      <w:r>
        <w:t xml:space="preserve">  einen Einblick in die Berufswelt ermöglichen und Ausbildungs- bzw. Bildungswege aufzeigen </w:t>
      </w:r>
    </w:p>
    <w:p w14:paraId="702B644B" w14:textId="77777777" w:rsidR="00312AE3" w:rsidRDefault="00B24347">
      <w:pPr>
        <w:spacing w:after="82"/>
        <w:ind w:left="-5" w:right="410"/>
      </w:pPr>
      <w:r>
        <w:rPr>
          <w:rFonts w:ascii="Segoe UI Symbol" w:eastAsia="Segoe UI Symbol" w:hAnsi="Segoe UI Symbol" w:cs="Segoe UI Symbol"/>
        </w:rPr>
        <w:t>⇒</w:t>
      </w:r>
      <w:r>
        <w:t xml:space="preserve"> die Berufswahlreife fördern und die Berufsfindung erleichtern,  </w:t>
      </w:r>
    </w:p>
    <w:p w14:paraId="4BB37FEA" w14:textId="77777777" w:rsidR="00312AE3" w:rsidRDefault="00B24347">
      <w:pPr>
        <w:spacing w:after="82"/>
        <w:ind w:left="-5" w:right="410"/>
      </w:pPr>
      <w:r>
        <w:rPr>
          <w:rFonts w:ascii="Segoe UI Symbol" w:eastAsia="Segoe UI Symbol" w:hAnsi="Segoe UI Symbol" w:cs="Segoe UI Symbol"/>
        </w:rPr>
        <w:t>⇒</w:t>
      </w:r>
      <w:r>
        <w:t xml:space="preserve">  Klarheit über körperliche, geistige und charakterliche Anforderungen von Berufen verschaffen, </w:t>
      </w:r>
    </w:p>
    <w:p w14:paraId="403F18C9" w14:textId="77777777" w:rsidR="00312AE3" w:rsidRDefault="00B24347">
      <w:pPr>
        <w:spacing w:line="363" w:lineRule="auto"/>
        <w:ind w:left="268" w:right="410" w:hanging="283"/>
      </w:pPr>
      <w:r>
        <w:rPr>
          <w:rFonts w:ascii="Segoe UI Symbol" w:eastAsia="Segoe UI Symbol" w:hAnsi="Segoe UI Symbol" w:cs="Segoe UI Symbol"/>
        </w:rPr>
        <w:t>⇒</w:t>
      </w:r>
      <w:r>
        <w:t xml:space="preserve"> die Möglichkeit zur selbstkritischen Überprüfung der persönlichen Eignung für den gewünschten Beruf bieten. </w:t>
      </w:r>
    </w:p>
    <w:p w14:paraId="4FA6BC9F" w14:textId="77777777" w:rsidR="00312AE3" w:rsidRPr="00F471C5" w:rsidRDefault="00B24347">
      <w:pPr>
        <w:spacing w:after="0" w:line="259" w:lineRule="auto"/>
        <w:ind w:left="0" w:right="0" w:firstLine="0"/>
        <w:jc w:val="left"/>
        <w:rPr>
          <w:sz w:val="8"/>
          <w:szCs w:val="8"/>
        </w:rPr>
      </w:pPr>
      <w:r>
        <w:t xml:space="preserve"> </w:t>
      </w:r>
    </w:p>
    <w:p w14:paraId="4A9F054A" w14:textId="77777777" w:rsidR="00312AE3" w:rsidRDefault="00B24347">
      <w:pPr>
        <w:spacing w:after="0" w:line="259" w:lineRule="auto"/>
        <w:ind w:left="1407" w:right="0" w:firstLine="0"/>
        <w:jc w:val="left"/>
      </w:pPr>
      <w:r>
        <w:rPr>
          <w:b/>
          <w:u w:val="single" w:color="000000"/>
        </w:rPr>
        <w:t>Wichtige Informationen für die „Berufspraktischen Tage/Wochen“</w:t>
      </w:r>
      <w:r>
        <w:rPr>
          <w:b/>
        </w:rPr>
        <w:t xml:space="preserve"> </w:t>
      </w:r>
    </w:p>
    <w:p w14:paraId="519AC671" w14:textId="77777777" w:rsidR="00312AE3" w:rsidRPr="00F471C5" w:rsidRDefault="00B24347">
      <w:pPr>
        <w:spacing w:after="0" w:line="259" w:lineRule="auto"/>
        <w:ind w:left="0" w:right="0" w:firstLine="0"/>
        <w:jc w:val="left"/>
        <w:rPr>
          <w:sz w:val="8"/>
          <w:szCs w:val="8"/>
        </w:rPr>
      </w:pPr>
      <w:r>
        <w:t xml:space="preserve"> </w:t>
      </w:r>
    </w:p>
    <w:p w14:paraId="39BBBFBB" w14:textId="77777777" w:rsidR="00312AE3" w:rsidRDefault="00B24347">
      <w:pPr>
        <w:numPr>
          <w:ilvl w:val="0"/>
          <w:numId w:val="1"/>
        </w:numPr>
        <w:ind w:right="410" w:hanging="427"/>
      </w:pPr>
      <w:r>
        <w:t xml:space="preserve">Bei der Durchführung von berufspraktischen Tagen bzw. berufspraktischen Wochen, ist vor allem darauf zu achten, dass unter keinen Umständen eine Eingliederung in den Arbeitsprozess stattfindet, da hier ansonsten ein Arbeitsverhältnis mit Entgeltanspruch entstehen und es dadurch zu großen arbeitsrechtlichen, kinder- und jugendschutzrechtlichen sowie sozialversicherungsrechtlichen Problemen kommen kann.  </w:t>
      </w:r>
    </w:p>
    <w:p w14:paraId="72B74B3D" w14:textId="77777777" w:rsidR="00312AE3" w:rsidRPr="00F471C5" w:rsidRDefault="00B24347">
      <w:pPr>
        <w:spacing w:after="24" w:line="259" w:lineRule="auto"/>
        <w:ind w:left="0" w:right="0" w:firstLine="0"/>
        <w:jc w:val="left"/>
        <w:rPr>
          <w:sz w:val="8"/>
          <w:szCs w:val="8"/>
        </w:rPr>
      </w:pPr>
      <w:r>
        <w:rPr>
          <w:sz w:val="16"/>
        </w:rPr>
        <w:t xml:space="preserve"> </w:t>
      </w:r>
    </w:p>
    <w:p w14:paraId="7CCE48FC" w14:textId="77777777" w:rsidR="00312AE3" w:rsidRDefault="00B24347">
      <w:pPr>
        <w:numPr>
          <w:ilvl w:val="0"/>
          <w:numId w:val="1"/>
        </w:numPr>
        <w:ind w:right="410" w:hanging="427"/>
      </w:pPr>
      <w:r>
        <w:t xml:space="preserve">Die SchülerInnen sind bei der Inanspruchnahme der Schnupperlehre im Rahmen der Schülerunfallversicherung versichert. Sie müssen nicht bei der Sozialversicherung angemeldet werden. </w:t>
      </w:r>
    </w:p>
    <w:p w14:paraId="10D2E60F" w14:textId="77777777" w:rsidR="00312AE3" w:rsidRPr="00F471C5" w:rsidRDefault="00B24347" w:rsidP="00F471C5">
      <w:pPr>
        <w:spacing w:after="0" w:line="259" w:lineRule="auto"/>
        <w:ind w:left="0" w:right="0" w:firstLine="0"/>
        <w:jc w:val="left"/>
        <w:rPr>
          <w:sz w:val="8"/>
          <w:szCs w:val="8"/>
        </w:rPr>
      </w:pPr>
      <w:r>
        <w:rPr>
          <w:sz w:val="16"/>
        </w:rPr>
        <w:t xml:space="preserve">  </w:t>
      </w:r>
    </w:p>
    <w:p w14:paraId="05D08054" w14:textId="77777777" w:rsidR="00312AE3" w:rsidRDefault="00B24347">
      <w:pPr>
        <w:numPr>
          <w:ilvl w:val="0"/>
          <w:numId w:val="1"/>
        </w:numPr>
        <w:spacing w:after="61"/>
        <w:ind w:right="410" w:hanging="427"/>
      </w:pPr>
      <w:r>
        <w:t xml:space="preserve">Bei Berufspraktischen Tagen/Wochen, wo SchülerInnen einzeln oder gruppenweise in einem Betrieb ohne ständige Aufsicht durch LehrerInnen anwesend sind, muss die ständige Beaufsichtigung im Sinne des § 44a des </w:t>
      </w:r>
      <w:proofErr w:type="spellStart"/>
      <w:r>
        <w:t>SchUG</w:t>
      </w:r>
      <w:proofErr w:type="spellEnd"/>
      <w:r>
        <w:t xml:space="preserve"> durch eine geeignete Person des jeweiligen Betriebes gewährleistet sein. Diese Person muss der Schule namentlich bekanntgegeben werden. </w:t>
      </w:r>
    </w:p>
    <w:p w14:paraId="2AD7D6CE" w14:textId="77777777" w:rsidR="00312AE3" w:rsidRPr="00F471C5" w:rsidRDefault="00B24347">
      <w:pPr>
        <w:spacing w:after="24" w:line="259" w:lineRule="auto"/>
        <w:ind w:left="360" w:right="0" w:firstLine="0"/>
        <w:jc w:val="left"/>
        <w:rPr>
          <w:sz w:val="4"/>
          <w:szCs w:val="4"/>
        </w:rPr>
      </w:pPr>
      <w:r>
        <w:rPr>
          <w:sz w:val="12"/>
        </w:rPr>
        <w:t xml:space="preserve"> </w:t>
      </w:r>
    </w:p>
    <w:p w14:paraId="355870D5" w14:textId="77777777" w:rsidR="00312AE3" w:rsidRDefault="00B24347">
      <w:pPr>
        <w:spacing w:line="248" w:lineRule="auto"/>
        <w:ind w:left="703" w:right="357"/>
        <w:jc w:val="left"/>
      </w:pPr>
      <w:r>
        <w:rPr>
          <w:rFonts w:ascii="Times New Roman" w:eastAsia="Times New Roman" w:hAnsi="Times New Roman" w:cs="Times New Roman"/>
          <w:i/>
          <w:color w:val="1A1A1A"/>
          <w:sz w:val="16"/>
        </w:rPr>
        <w:t xml:space="preserve">§ 44a </w:t>
      </w:r>
      <w:proofErr w:type="spellStart"/>
      <w:r>
        <w:rPr>
          <w:rFonts w:ascii="Times New Roman" w:eastAsia="Times New Roman" w:hAnsi="Times New Roman" w:cs="Times New Roman"/>
          <w:i/>
          <w:color w:val="1A1A1A"/>
          <w:sz w:val="16"/>
        </w:rPr>
        <w:t>SchUG</w:t>
      </w:r>
      <w:proofErr w:type="spellEnd"/>
      <w:r>
        <w:rPr>
          <w:rFonts w:ascii="Times New Roman" w:eastAsia="Times New Roman" w:hAnsi="Times New Roman" w:cs="Times New Roman"/>
          <w:i/>
          <w:color w:val="1A1A1A"/>
          <w:sz w:val="16"/>
        </w:rPr>
        <w:t>: Die Beaufsichtigung von Schülern in der Schule, bei Schulveranstaltungen (§ 13), schulbezogenen Veranstaltungen (§ 13a) oder individueller Berufs(</w:t>
      </w:r>
      <w:proofErr w:type="spellStart"/>
      <w:r>
        <w:rPr>
          <w:rFonts w:ascii="Times New Roman" w:eastAsia="Times New Roman" w:hAnsi="Times New Roman" w:cs="Times New Roman"/>
          <w:i/>
          <w:color w:val="1A1A1A"/>
          <w:sz w:val="16"/>
        </w:rPr>
        <w:t>bildungs</w:t>
      </w:r>
      <w:proofErr w:type="spellEnd"/>
      <w:r>
        <w:rPr>
          <w:rFonts w:ascii="Times New Roman" w:eastAsia="Times New Roman" w:hAnsi="Times New Roman" w:cs="Times New Roman"/>
          <w:i/>
          <w:color w:val="1A1A1A"/>
          <w:sz w:val="16"/>
        </w:rPr>
        <w:t>)</w:t>
      </w:r>
      <w:proofErr w:type="spellStart"/>
      <w:r>
        <w:rPr>
          <w:rFonts w:ascii="Times New Roman" w:eastAsia="Times New Roman" w:hAnsi="Times New Roman" w:cs="Times New Roman"/>
          <w:i/>
          <w:color w:val="1A1A1A"/>
          <w:sz w:val="16"/>
        </w:rPr>
        <w:t>orientierung</w:t>
      </w:r>
      <w:proofErr w:type="spellEnd"/>
      <w:r>
        <w:rPr>
          <w:rFonts w:ascii="Times New Roman" w:eastAsia="Times New Roman" w:hAnsi="Times New Roman" w:cs="Times New Roman"/>
          <w:i/>
          <w:color w:val="1A1A1A"/>
          <w:sz w:val="16"/>
        </w:rPr>
        <w:t xml:space="preserve"> (§ 13b) kann auch durch andere geeignete Personen als durch Lehrer oder Erzieher erfolgen, wenn dies </w:t>
      </w:r>
    </w:p>
    <w:p w14:paraId="1CED669C" w14:textId="77777777" w:rsidR="00312AE3" w:rsidRPr="00F471C5" w:rsidRDefault="00B24347">
      <w:pPr>
        <w:spacing w:after="64" w:line="259" w:lineRule="auto"/>
        <w:ind w:left="708" w:right="0" w:firstLine="0"/>
        <w:jc w:val="left"/>
        <w:rPr>
          <w:sz w:val="4"/>
          <w:szCs w:val="4"/>
        </w:rPr>
      </w:pPr>
      <w:r>
        <w:rPr>
          <w:rFonts w:ascii="Times New Roman" w:eastAsia="Times New Roman" w:hAnsi="Times New Roman" w:cs="Times New Roman"/>
          <w:i/>
          <w:color w:val="1A1A1A"/>
          <w:sz w:val="8"/>
        </w:rPr>
        <w:t xml:space="preserve"> </w:t>
      </w:r>
    </w:p>
    <w:p w14:paraId="5A86303C" w14:textId="77777777" w:rsidR="00312AE3" w:rsidRDefault="00B24347">
      <w:pPr>
        <w:spacing w:line="248" w:lineRule="auto"/>
        <w:ind w:left="703" w:right="3939"/>
        <w:jc w:val="left"/>
      </w:pPr>
      <w:r>
        <w:rPr>
          <w:rFonts w:ascii="Times New Roman" w:eastAsia="Times New Roman" w:hAnsi="Times New Roman" w:cs="Times New Roman"/>
          <w:i/>
          <w:color w:val="1A1A1A"/>
          <w:sz w:val="16"/>
        </w:rPr>
        <w:t xml:space="preserve">1. zur Gewährleistung der Sicherheit für die Schüler erforderlich ist und  2. im Hinblick auf die Erfüllung der Aufgaben der Schule zweckmäßig ist.  </w:t>
      </w:r>
    </w:p>
    <w:p w14:paraId="68F54529" w14:textId="77777777" w:rsidR="00312AE3" w:rsidRPr="00F471C5" w:rsidRDefault="00B24347">
      <w:pPr>
        <w:spacing w:after="66" w:line="259" w:lineRule="auto"/>
        <w:ind w:left="708" w:right="0" w:firstLine="0"/>
        <w:jc w:val="left"/>
        <w:rPr>
          <w:sz w:val="4"/>
          <w:szCs w:val="4"/>
        </w:rPr>
      </w:pPr>
      <w:r>
        <w:rPr>
          <w:rFonts w:ascii="Times New Roman" w:eastAsia="Times New Roman" w:hAnsi="Times New Roman" w:cs="Times New Roman"/>
          <w:i/>
          <w:color w:val="1A1A1A"/>
          <w:sz w:val="8"/>
        </w:rPr>
        <w:t xml:space="preserve"> </w:t>
      </w:r>
    </w:p>
    <w:p w14:paraId="246B2E28" w14:textId="77777777" w:rsidR="00312AE3" w:rsidRDefault="00B24347">
      <w:pPr>
        <w:spacing w:line="248" w:lineRule="auto"/>
        <w:ind w:left="703" w:right="357"/>
        <w:jc w:val="left"/>
      </w:pPr>
      <w:r>
        <w:rPr>
          <w:rFonts w:ascii="Times New Roman" w:eastAsia="Times New Roman" w:hAnsi="Times New Roman" w:cs="Times New Roman"/>
          <w:i/>
          <w:color w:val="1A1A1A"/>
          <w:sz w:val="16"/>
        </w:rPr>
        <w:t>Diese Personen (</w:t>
      </w:r>
      <w:proofErr w:type="spellStart"/>
      <w:r>
        <w:rPr>
          <w:rFonts w:ascii="Times New Roman" w:eastAsia="Times New Roman" w:hAnsi="Times New Roman" w:cs="Times New Roman"/>
          <w:i/>
          <w:color w:val="1A1A1A"/>
          <w:sz w:val="16"/>
        </w:rPr>
        <w:t>zB</w:t>
      </w:r>
      <w:proofErr w:type="spellEnd"/>
      <w:r>
        <w:rPr>
          <w:rFonts w:ascii="Times New Roman" w:eastAsia="Times New Roman" w:hAnsi="Times New Roman" w:cs="Times New Roman"/>
          <w:i/>
          <w:color w:val="1A1A1A"/>
          <w:sz w:val="16"/>
        </w:rPr>
        <w:t xml:space="preserve"> Erziehungsberechtigte) werden funktionell als Bundesorgane tätig.  </w:t>
      </w:r>
    </w:p>
    <w:p w14:paraId="3ED67C76" w14:textId="77777777" w:rsidR="00312AE3" w:rsidRPr="00F471C5" w:rsidRDefault="00B24347">
      <w:pPr>
        <w:spacing w:after="25" w:line="259" w:lineRule="auto"/>
        <w:ind w:left="0" w:right="0" w:firstLine="0"/>
        <w:jc w:val="left"/>
        <w:rPr>
          <w:sz w:val="8"/>
          <w:szCs w:val="8"/>
        </w:rPr>
      </w:pPr>
      <w:r>
        <w:rPr>
          <w:rFonts w:ascii="Times New Roman" w:eastAsia="Times New Roman" w:hAnsi="Times New Roman" w:cs="Times New Roman"/>
          <w:sz w:val="16"/>
        </w:rPr>
        <w:t xml:space="preserve"> </w:t>
      </w:r>
    </w:p>
    <w:p w14:paraId="4571A318" w14:textId="77777777" w:rsidR="00312AE3" w:rsidRDefault="00B24347">
      <w:pPr>
        <w:numPr>
          <w:ilvl w:val="0"/>
          <w:numId w:val="1"/>
        </w:numPr>
        <w:ind w:right="410" w:hanging="427"/>
      </w:pPr>
      <w:r>
        <w:t>Die SchülerInnen unterliegen keiner Arbeitspflicht, keiner bindenden Arbeitszeit und nicht dem arbeitsrechtlichen Weisungsrecht des Betriebsinhabers. Arbeitszeiten, die im „Bundesgesetz über die Beschäftigung von Kinder und Jugendlichen 1987 - KJBG“ geregelt sind, müssen eingehalten werden</w:t>
      </w:r>
      <w:r>
        <w:rPr>
          <w:sz w:val="24"/>
        </w:rPr>
        <w:t>.</w:t>
      </w:r>
      <w:r>
        <w:t xml:space="preserve"> </w:t>
      </w:r>
    </w:p>
    <w:p w14:paraId="338A9C99" w14:textId="77777777" w:rsidR="00312AE3" w:rsidRPr="00F471C5" w:rsidRDefault="00B24347">
      <w:pPr>
        <w:spacing w:after="0" w:line="259" w:lineRule="auto"/>
        <w:ind w:left="360" w:right="0" w:firstLine="0"/>
        <w:jc w:val="left"/>
        <w:rPr>
          <w:sz w:val="8"/>
          <w:szCs w:val="8"/>
        </w:rPr>
      </w:pPr>
      <w:r>
        <w:t xml:space="preserve"> </w:t>
      </w:r>
    </w:p>
    <w:p w14:paraId="67A65AFE" w14:textId="77777777" w:rsidR="00312AE3" w:rsidRDefault="00B24347">
      <w:pPr>
        <w:numPr>
          <w:ilvl w:val="0"/>
          <w:numId w:val="1"/>
        </w:numPr>
        <w:ind w:right="410" w:hanging="427"/>
      </w:pPr>
      <w:r>
        <w:t xml:space="preserve">Die Bestimmungen des Arbeitnehmerschutzes und arbeitshygienische Vorschriften sind zu berücksichtigen. </w:t>
      </w:r>
    </w:p>
    <w:p w14:paraId="73FDB210" w14:textId="77777777" w:rsidR="00312AE3" w:rsidRPr="00F471C5" w:rsidRDefault="00B24347">
      <w:pPr>
        <w:spacing w:after="32" w:line="259" w:lineRule="auto"/>
        <w:ind w:left="708" w:right="0" w:firstLine="0"/>
        <w:jc w:val="left"/>
        <w:rPr>
          <w:sz w:val="8"/>
          <w:szCs w:val="8"/>
        </w:rPr>
      </w:pPr>
      <w:r>
        <w:t xml:space="preserve"> </w:t>
      </w:r>
    </w:p>
    <w:p w14:paraId="66A51050" w14:textId="77777777" w:rsidR="00312AE3" w:rsidRDefault="00B24347">
      <w:pPr>
        <w:numPr>
          <w:ilvl w:val="0"/>
          <w:numId w:val="1"/>
        </w:numPr>
        <w:ind w:right="410" w:hanging="427"/>
      </w:pPr>
      <w:r>
        <w:t xml:space="preserve">Die SchülerInnen haben keinen Anspruch auf Entgelt. </w:t>
      </w:r>
    </w:p>
    <w:p w14:paraId="656FBAAE" w14:textId="77777777" w:rsidR="00312AE3" w:rsidRDefault="00B24347">
      <w:pPr>
        <w:spacing w:after="33" w:line="259" w:lineRule="auto"/>
        <w:ind w:left="708" w:right="0" w:firstLine="0"/>
        <w:jc w:val="left"/>
      </w:pPr>
      <w:r>
        <w:t xml:space="preserve"> </w:t>
      </w:r>
    </w:p>
    <w:p w14:paraId="0A599B74" w14:textId="77777777" w:rsidR="00312AE3" w:rsidRDefault="00B24347">
      <w:pPr>
        <w:spacing w:after="0" w:line="259" w:lineRule="auto"/>
        <w:ind w:left="360" w:right="0" w:firstLine="0"/>
        <w:jc w:val="left"/>
      </w:pPr>
      <w:r>
        <w:t xml:space="preserve"> </w:t>
      </w:r>
      <w:r>
        <w:rPr>
          <w:rFonts w:ascii="Times New Roman" w:eastAsia="Times New Roman" w:hAnsi="Times New Roman" w:cs="Times New Roman"/>
        </w:rPr>
        <w:tab/>
        <w:t xml:space="preserve">  </w:t>
      </w:r>
    </w:p>
    <w:p w14:paraId="2AAD5662" w14:textId="77777777" w:rsidR="00312AE3" w:rsidRDefault="00B24347">
      <w:pPr>
        <w:spacing w:after="0" w:line="259" w:lineRule="auto"/>
        <w:ind w:left="0" w:right="423" w:firstLine="0"/>
        <w:jc w:val="right"/>
      </w:pPr>
      <w:r>
        <w:rPr>
          <w:rFonts w:ascii="Times New Roman" w:eastAsia="Times New Roman" w:hAnsi="Times New Roman" w:cs="Times New Roman"/>
        </w:rPr>
        <w:t>…….……………….…………</w:t>
      </w:r>
      <w:r>
        <w:rPr>
          <w:rFonts w:ascii="Times New Roman" w:eastAsia="Times New Roman" w:hAnsi="Times New Roman" w:cs="Times New Roman"/>
          <w:sz w:val="14"/>
        </w:rPr>
        <w:t xml:space="preserve"> </w:t>
      </w:r>
    </w:p>
    <w:p w14:paraId="56D7ABA4" w14:textId="77777777" w:rsidR="00F471C5" w:rsidRDefault="00B24347" w:rsidP="00F471C5">
      <w:pPr>
        <w:tabs>
          <w:tab w:val="center" w:pos="7799"/>
        </w:tabs>
        <w:spacing w:after="391" w:line="259" w:lineRule="auto"/>
        <w:ind w:left="0" w:right="0" w:firstLine="0"/>
        <w:jc w:val="left"/>
        <w:rPr>
          <w:rFonts w:ascii="Times New Roman" w:eastAsia="Times New Roman" w:hAnsi="Times New Roman" w:cs="Times New Roman"/>
        </w:rPr>
      </w:pPr>
      <w:r>
        <w:rPr>
          <w:rFonts w:ascii="Times New Roman" w:eastAsia="Times New Roman" w:hAnsi="Times New Roman" w:cs="Times New Roman"/>
          <w:sz w:val="12"/>
        </w:rPr>
        <w:t xml:space="preserve"> </w:t>
      </w:r>
      <w:r>
        <w:rPr>
          <w:rFonts w:ascii="Times New Roman" w:eastAsia="Times New Roman" w:hAnsi="Times New Roman" w:cs="Times New Roman"/>
          <w:sz w:val="12"/>
        </w:rPr>
        <w:tab/>
        <w:t xml:space="preserve"> </w:t>
      </w:r>
      <w:r>
        <w:rPr>
          <w:rFonts w:ascii="Times New Roman" w:eastAsia="Times New Roman" w:hAnsi="Times New Roman" w:cs="Times New Roman"/>
          <w:sz w:val="16"/>
        </w:rPr>
        <w:t>Stempel und Unterschrift der Direktion</w:t>
      </w:r>
      <w:r>
        <w:rPr>
          <w:rFonts w:ascii="Times New Roman" w:eastAsia="Times New Roman" w:hAnsi="Times New Roman" w:cs="Times New Roman"/>
        </w:rPr>
        <w:t xml:space="preserve"> </w:t>
      </w:r>
    </w:p>
    <w:p w14:paraId="2AE09BB4" w14:textId="77777777" w:rsidR="00312AE3" w:rsidRDefault="00B24347" w:rsidP="00F471C5">
      <w:pPr>
        <w:tabs>
          <w:tab w:val="center" w:pos="7799"/>
        </w:tabs>
        <w:spacing w:after="391" w:line="259" w:lineRule="auto"/>
        <w:ind w:left="0" w:right="0" w:firstLine="0"/>
        <w:jc w:val="right"/>
      </w:pPr>
      <w:r>
        <w:rPr>
          <w:rFonts w:ascii="Times New Roman" w:eastAsia="Times New Roman" w:hAnsi="Times New Roman" w:cs="Times New Roman"/>
          <w:sz w:val="14"/>
        </w:rPr>
        <w:t xml:space="preserve">Mai 2019 – Bildungsdirektion Niederösterreich, Werner Blank </w:t>
      </w:r>
    </w:p>
    <w:sectPr w:rsidR="00312AE3" w:rsidSect="00F471C5">
      <w:headerReference w:type="default" r:id="rId7"/>
      <w:pgSz w:w="11906" w:h="16838"/>
      <w:pgMar w:top="851" w:right="99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40564" w14:textId="77777777" w:rsidR="00F212CC" w:rsidRDefault="00F212CC" w:rsidP="00F471C5">
      <w:pPr>
        <w:spacing w:after="0" w:line="240" w:lineRule="auto"/>
      </w:pPr>
      <w:r>
        <w:separator/>
      </w:r>
    </w:p>
  </w:endnote>
  <w:endnote w:type="continuationSeparator" w:id="0">
    <w:p w14:paraId="7CCABC75" w14:textId="77777777" w:rsidR="00F212CC" w:rsidRDefault="00F212CC" w:rsidP="00F47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BDB9A" w14:textId="77777777" w:rsidR="00F212CC" w:rsidRDefault="00F212CC" w:rsidP="00F471C5">
      <w:pPr>
        <w:spacing w:after="0" w:line="240" w:lineRule="auto"/>
      </w:pPr>
      <w:r>
        <w:separator/>
      </w:r>
    </w:p>
  </w:footnote>
  <w:footnote w:type="continuationSeparator" w:id="0">
    <w:p w14:paraId="73640717" w14:textId="77777777" w:rsidR="00F212CC" w:rsidRDefault="00F212CC" w:rsidP="00F47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1654"/>
      <w:gridCol w:w="3368"/>
    </w:tblGrid>
    <w:tr w:rsidR="00F471C5" w14:paraId="02AF0FCB" w14:textId="77777777" w:rsidTr="00BE26B6">
      <w:tc>
        <w:tcPr>
          <w:tcW w:w="4266" w:type="dxa"/>
        </w:tcPr>
        <w:p w14:paraId="326CA776" w14:textId="77777777" w:rsidR="00F471C5" w:rsidRDefault="00F471C5" w:rsidP="00F471C5">
          <w:pPr>
            <w:pStyle w:val="Kopfzeile"/>
          </w:pPr>
          <w:r>
            <w:rPr>
              <w:noProof/>
              <w:sz w:val="16"/>
              <w:szCs w:val="16"/>
              <w:u w:val="single"/>
              <w:lang w:val="de-AT" w:eastAsia="de-AT"/>
            </w:rPr>
            <w:drawing>
              <wp:inline distT="0" distB="0" distL="0" distR="0" wp14:anchorId="5DFCECE8" wp14:editId="4B197685">
                <wp:extent cx="2422735" cy="7715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ms_fertig_201211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2736" cy="771525"/>
                        </a:xfrm>
                        <a:prstGeom prst="rect">
                          <a:avLst/>
                        </a:prstGeom>
                        <a:ln>
                          <a:noFill/>
                        </a:ln>
                      </pic:spPr>
                    </pic:pic>
                  </a:graphicData>
                </a:graphic>
              </wp:inline>
            </w:drawing>
          </w:r>
        </w:p>
      </w:tc>
      <w:tc>
        <w:tcPr>
          <w:tcW w:w="1654" w:type="dxa"/>
        </w:tcPr>
        <w:p w14:paraId="0D6117B9" w14:textId="77777777" w:rsidR="00F471C5" w:rsidRDefault="00F471C5" w:rsidP="00F471C5">
          <w:pPr>
            <w:pStyle w:val="Kopfzeile"/>
          </w:pPr>
        </w:p>
      </w:tc>
      <w:tc>
        <w:tcPr>
          <w:tcW w:w="3368" w:type="dxa"/>
        </w:tcPr>
        <w:p w14:paraId="60D7D8BA" w14:textId="77777777" w:rsidR="00F471C5" w:rsidRPr="009576B2" w:rsidRDefault="00F471C5" w:rsidP="00F471C5">
          <w:pPr>
            <w:jc w:val="right"/>
            <w:rPr>
              <w:b/>
            </w:rPr>
          </w:pPr>
        </w:p>
        <w:p w14:paraId="53A248D3" w14:textId="77777777" w:rsidR="00F471C5" w:rsidRPr="00D06712" w:rsidRDefault="00F471C5" w:rsidP="00F471C5">
          <w:pPr>
            <w:ind w:right="-34"/>
            <w:jc w:val="right"/>
            <w:rPr>
              <w:b/>
            </w:rPr>
          </w:pPr>
          <w:r w:rsidRPr="00D06712">
            <w:rPr>
              <w:b/>
            </w:rPr>
            <w:t>Neue NÖ Mittelschule Horn</w:t>
          </w:r>
        </w:p>
        <w:p w14:paraId="13D0A25E" w14:textId="77777777" w:rsidR="00F471C5" w:rsidRDefault="00F471C5" w:rsidP="00F471C5">
          <w:pPr>
            <w:ind w:right="0"/>
            <w:jc w:val="right"/>
            <w:rPr>
              <w:sz w:val="16"/>
              <w:szCs w:val="16"/>
            </w:rPr>
          </w:pPr>
          <w:r>
            <w:rPr>
              <w:sz w:val="16"/>
              <w:szCs w:val="16"/>
            </w:rPr>
            <w:t xml:space="preserve">3580 Horn, </w:t>
          </w:r>
          <w:proofErr w:type="spellStart"/>
          <w:r>
            <w:rPr>
              <w:sz w:val="16"/>
              <w:szCs w:val="16"/>
            </w:rPr>
            <w:t>Hamerlingstraße</w:t>
          </w:r>
          <w:proofErr w:type="spellEnd"/>
          <w:r>
            <w:rPr>
              <w:sz w:val="16"/>
              <w:szCs w:val="16"/>
            </w:rPr>
            <w:t xml:space="preserve"> 1</w:t>
          </w:r>
        </w:p>
        <w:p w14:paraId="45F1B036" w14:textId="77777777" w:rsidR="00F471C5" w:rsidRDefault="00F471C5" w:rsidP="00F471C5">
          <w:pPr>
            <w:ind w:right="0"/>
            <w:jc w:val="right"/>
            <w:rPr>
              <w:sz w:val="16"/>
              <w:szCs w:val="16"/>
            </w:rPr>
          </w:pPr>
          <w:r>
            <w:rPr>
              <w:sz w:val="16"/>
              <w:szCs w:val="16"/>
            </w:rPr>
            <w:t>Tel. 02982 2414</w:t>
          </w:r>
        </w:p>
        <w:p w14:paraId="6401ED11" w14:textId="77777777" w:rsidR="00F471C5" w:rsidRDefault="00F471C5" w:rsidP="00F471C5">
          <w:pPr>
            <w:ind w:right="0"/>
            <w:jc w:val="right"/>
            <w:rPr>
              <w:sz w:val="16"/>
              <w:szCs w:val="16"/>
            </w:rPr>
          </w:pPr>
          <w:r>
            <w:rPr>
              <w:sz w:val="16"/>
              <w:szCs w:val="16"/>
            </w:rPr>
            <w:t>Fax 02982 2414 4</w:t>
          </w:r>
        </w:p>
        <w:p w14:paraId="38F0A322" w14:textId="77777777" w:rsidR="00F471C5" w:rsidRDefault="00F471C5" w:rsidP="00F471C5">
          <w:pPr>
            <w:pStyle w:val="Kopfzeile"/>
            <w:jc w:val="right"/>
          </w:pPr>
          <w:r>
            <w:rPr>
              <w:sz w:val="16"/>
              <w:szCs w:val="16"/>
            </w:rPr>
            <w:t>E-Mail direktion@nms-horn.ac.at</w:t>
          </w:r>
        </w:p>
      </w:tc>
    </w:tr>
  </w:tbl>
  <w:p w14:paraId="10FD9A51" w14:textId="77777777" w:rsidR="00F471C5" w:rsidRDefault="00F471C5" w:rsidP="00F471C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D309E"/>
    <w:multiLevelType w:val="hybridMultilevel"/>
    <w:tmpl w:val="D6ACFF3A"/>
    <w:lvl w:ilvl="0" w:tplc="E2989FCE">
      <w:start w:val="1"/>
      <w:numFmt w:val="bullet"/>
      <w:lvlText w:val=""/>
      <w:lvlJc w:val="left"/>
      <w:pPr>
        <w:ind w:left="4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2F449F8">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C6A52A0">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A5AB9F6">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C520C0C">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8A2B928">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D2A9E0C">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BBC27FA">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3B8D64E">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AE3"/>
    <w:rsid w:val="00312AE3"/>
    <w:rsid w:val="008046C3"/>
    <w:rsid w:val="00B24347"/>
    <w:rsid w:val="00B70396"/>
    <w:rsid w:val="00F212CC"/>
    <w:rsid w:val="00F471C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4F6C7"/>
  <w15:docId w15:val="{DD8A1388-848D-4927-8615-776B805B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4" w:line="249" w:lineRule="auto"/>
      <w:ind w:left="10" w:right="425" w:hanging="10"/>
      <w:jc w:val="both"/>
    </w:pPr>
    <w:rPr>
      <w:rFonts w:ascii="Arial" w:eastAsia="Arial" w:hAnsi="Arial" w:cs="Arial"/>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471C5"/>
    <w:pPr>
      <w:tabs>
        <w:tab w:val="center" w:pos="4536"/>
        <w:tab w:val="right" w:pos="9072"/>
      </w:tabs>
      <w:spacing w:after="0" w:line="240" w:lineRule="auto"/>
      <w:ind w:left="0" w:right="0" w:firstLine="0"/>
      <w:jc w:val="left"/>
    </w:pPr>
    <w:rPr>
      <w:rFonts w:ascii="Times New Roman" w:eastAsia="PMingLiU" w:hAnsi="Times New Roman" w:cs="Times New Roman"/>
      <w:color w:val="auto"/>
      <w:sz w:val="24"/>
      <w:szCs w:val="24"/>
      <w:lang w:val="de-DE" w:eastAsia="zh-TW"/>
    </w:rPr>
  </w:style>
  <w:style w:type="character" w:customStyle="1" w:styleId="KopfzeileZchn">
    <w:name w:val="Kopfzeile Zchn"/>
    <w:basedOn w:val="Absatz-Standardschriftart"/>
    <w:link w:val="Kopfzeile"/>
    <w:uiPriority w:val="99"/>
    <w:rsid w:val="00F471C5"/>
    <w:rPr>
      <w:rFonts w:ascii="Times New Roman" w:eastAsia="PMingLiU" w:hAnsi="Times New Roman" w:cs="Times New Roman"/>
      <w:sz w:val="24"/>
      <w:szCs w:val="24"/>
      <w:lang w:val="de-DE" w:eastAsia="zh-TW"/>
    </w:rPr>
  </w:style>
  <w:style w:type="table" w:styleId="Tabellenraster">
    <w:name w:val="Table Grid"/>
    <w:basedOn w:val="NormaleTabelle"/>
    <w:uiPriority w:val="59"/>
    <w:rsid w:val="00F471C5"/>
    <w:pPr>
      <w:spacing w:after="0" w:line="240" w:lineRule="auto"/>
    </w:pPr>
    <w:rPr>
      <w:rFonts w:ascii="Times New Roman" w:eastAsiaTheme="minorHAnsi" w:hAnsi="Times New Roman" w:cs="Times New Roman"/>
      <w:sz w:val="20"/>
      <w:szCs w:val="20"/>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F471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71C5"/>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2639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Polytechnische Schule St</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Polytechnische Schule St</dc:title>
  <dc:subject/>
  <dc:creator>Werner Blank</dc:creator>
  <cp:keywords/>
  <cp:lastModifiedBy>Karin Krapfenbauer</cp:lastModifiedBy>
  <cp:revision>2</cp:revision>
  <dcterms:created xsi:type="dcterms:W3CDTF">2020-06-09T06:58:00Z</dcterms:created>
  <dcterms:modified xsi:type="dcterms:W3CDTF">2020-06-09T06:58:00Z</dcterms:modified>
</cp:coreProperties>
</file>